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422" w:rsidRDefault="00953D94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F43422" w:rsidRDefault="00953D94">
      <w:pPr>
        <w:spacing w:after="31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F43422" w:rsidRDefault="00953D94">
      <w:pPr>
        <w:spacing w:after="1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Pr="000815AC">
        <w:rPr>
          <w:rFonts w:ascii="Corbel" w:eastAsia="Corbel" w:hAnsi="Corbel" w:cs="Corbel"/>
          <w:b/>
          <w:i/>
          <w:sz w:val="24"/>
        </w:rPr>
        <w:t>20</w:t>
      </w:r>
      <w:r w:rsidR="00C1229B">
        <w:rPr>
          <w:rFonts w:ascii="Corbel" w:eastAsia="Corbel" w:hAnsi="Corbel" w:cs="Corbel"/>
          <w:b/>
          <w:i/>
          <w:sz w:val="24"/>
        </w:rPr>
        <w:t>19</w:t>
      </w:r>
      <w:r w:rsidRPr="000815AC">
        <w:rPr>
          <w:rFonts w:ascii="Corbel" w:eastAsia="Corbel" w:hAnsi="Corbel" w:cs="Corbel"/>
          <w:b/>
          <w:i/>
          <w:sz w:val="24"/>
        </w:rPr>
        <w:t>-</w:t>
      </w:r>
      <w:r w:rsidR="000815AC" w:rsidRPr="000815AC">
        <w:rPr>
          <w:rFonts w:ascii="Corbel" w:eastAsia="Corbel" w:hAnsi="Corbel" w:cs="Corbel"/>
          <w:b/>
          <w:i/>
          <w:sz w:val="24"/>
        </w:rPr>
        <w:t>20</w:t>
      </w:r>
      <w:r w:rsidRPr="000815AC">
        <w:rPr>
          <w:rFonts w:ascii="Corbel" w:eastAsia="Corbel" w:hAnsi="Corbel" w:cs="Corbel"/>
          <w:b/>
          <w:i/>
          <w:sz w:val="24"/>
        </w:rPr>
        <w:t>2</w:t>
      </w:r>
      <w:r w:rsidR="00C1229B">
        <w:rPr>
          <w:rFonts w:ascii="Corbel" w:eastAsia="Corbel" w:hAnsi="Corbel" w:cs="Corbel"/>
          <w:b/>
          <w:i/>
          <w:sz w:val="24"/>
        </w:rPr>
        <w:t>2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0815AC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F43422" w:rsidRDefault="00953D94">
      <w:pPr>
        <w:spacing w:after="26" w:line="240" w:lineRule="auto"/>
      </w:pPr>
      <w:r>
        <w:rPr>
          <w:rFonts w:ascii="Corbel" w:eastAsia="Corbel" w:hAnsi="Corbel" w:cs="Corbel"/>
          <w:sz w:val="20"/>
        </w:rPr>
        <w:t xml:space="preserve"> </w:t>
      </w:r>
    </w:p>
    <w:p w:rsidR="00F43422" w:rsidRPr="000815AC" w:rsidRDefault="000815AC">
      <w:pPr>
        <w:spacing w:after="32" w:line="240" w:lineRule="auto"/>
        <w:jc w:val="center"/>
        <w:rPr>
          <w:b/>
        </w:rPr>
      </w:pPr>
      <w:r w:rsidRPr="000815AC">
        <w:rPr>
          <w:rFonts w:ascii="Corbel" w:eastAsia="Corbel" w:hAnsi="Corbel" w:cs="Corbel"/>
          <w:b/>
          <w:sz w:val="20"/>
        </w:rPr>
        <w:t xml:space="preserve">Rok akademicki  </w:t>
      </w:r>
      <w:r w:rsidR="00C1229B">
        <w:rPr>
          <w:rFonts w:ascii="Corbel" w:eastAsia="Corbel" w:hAnsi="Corbel" w:cs="Corbel"/>
          <w:b/>
          <w:sz w:val="20"/>
        </w:rPr>
        <w:t>2019/</w:t>
      </w:r>
      <w:r w:rsidRPr="000815AC">
        <w:rPr>
          <w:rFonts w:ascii="Corbel" w:eastAsia="Corbel" w:hAnsi="Corbel" w:cs="Corbel"/>
          <w:b/>
          <w:sz w:val="20"/>
        </w:rPr>
        <w:t>2</w:t>
      </w:r>
      <w:r w:rsidR="00953D94" w:rsidRPr="000815AC">
        <w:rPr>
          <w:rFonts w:ascii="Corbel" w:eastAsia="Corbel" w:hAnsi="Corbel" w:cs="Corbel"/>
          <w:b/>
          <w:sz w:val="20"/>
        </w:rPr>
        <w:t xml:space="preserve">020 </w:t>
      </w:r>
    </w:p>
    <w:p w:rsidR="00F43422" w:rsidRDefault="00953D94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ind w:left="2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Nauka o polityce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MK_2 </w:t>
            </w:r>
          </w:p>
        </w:tc>
      </w:tr>
      <w:tr w:rsidR="00F43422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43422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0572C4">
            <w:pPr>
              <w:ind w:left="2"/>
            </w:pPr>
            <w:r w:rsidRPr="000572C4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43422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ind w:left="2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F43422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ind w:left="2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I rok I semestr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podstawowy </w:t>
            </w:r>
          </w:p>
        </w:tc>
      </w:tr>
      <w:tr w:rsidR="00F43422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21533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  <w:tr w:rsidR="00F43422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3422" w:rsidRDefault="00F43422"/>
        </w:tc>
      </w:tr>
      <w:tr w:rsidR="00F43422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</w:t>
            </w:r>
            <w:r w:rsidR="00215333">
              <w:rPr>
                <w:rFonts w:ascii="Corbel" w:eastAsia="Corbel" w:hAnsi="Corbel" w:cs="Corbel"/>
                <w:sz w:val="24"/>
              </w:rPr>
              <w:t>, prof. UR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1"/>
        <w:ind w:left="294"/>
      </w:pPr>
      <w:r>
        <w:t xml:space="preserve">1.1.Formy zajęć dydaktycznych, wymiar godzin i punktów ECTS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F43422" w:rsidTr="000815AC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43422" w:rsidTr="000815AC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C34C78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Pr="000815AC" w:rsidRDefault="00953D94" w:rsidP="000815AC">
            <w:pPr>
              <w:jc w:val="center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  <w:ind w:left="294"/>
      </w:pPr>
      <w:r>
        <w:t xml:space="preserve">1.2. Sposób realizacji zajęć   </w:t>
      </w:r>
    </w:p>
    <w:p w:rsidR="00F43422" w:rsidRDefault="00953D94">
      <w:pPr>
        <w:spacing w:after="38" w:line="240" w:lineRule="auto"/>
        <w:ind w:left="284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4" w:lineRule="auto"/>
        <w:ind w:left="-5" w:right="-15" w:hanging="10"/>
      </w:pPr>
      <w:r>
        <w:rPr>
          <w:rFonts w:ascii="Corbel" w:eastAsia="Corbel" w:hAnsi="Corbel" w:cs="Corbel"/>
          <w:sz w:val="24"/>
        </w:rPr>
        <w:t xml:space="preserve">W zależności od przepisów wewnętrznych UR zajęcia w formie tradycyjnej lub online w trybie synchronicznej interakcji. </w:t>
      </w:r>
    </w:p>
    <w:p w:rsidR="00F43422" w:rsidRDefault="00953D94">
      <w:pPr>
        <w:spacing w:after="38" w:line="240" w:lineRule="auto"/>
        <w:ind w:left="708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spacing w:after="313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spacing w:after="146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F</w:t>
      </w:r>
      <w:r>
        <w:rPr>
          <w:rFonts w:ascii="Corbel" w:eastAsia="Corbel" w:hAnsi="Corbel" w:cs="Corbel"/>
          <w:sz w:val="19"/>
        </w:rPr>
        <w:t>ORMA ZALICZENIA ĆWICZEŃ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ZALICZENIE Z OCENĄ</w:t>
      </w: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S</w:t>
      </w:r>
      <w:r>
        <w:rPr>
          <w:rFonts w:ascii="Corbel" w:eastAsia="Corbel" w:hAnsi="Corbel" w:cs="Corbel"/>
          <w:sz w:val="19"/>
        </w:rPr>
        <w:t>POSÓB ZALICZENIA WYKŁADU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EGZAMIN USTNY</w:t>
      </w: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6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F43422" w:rsidRDefault="00953D94">
      <w:pPr>
        <w:pStyle w:val="Nagwek3"/>
        <w:rPr>
          <w:sz w:val="24"/>
        </w:rPr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0815AC" w:rsidRPr="000815AC" w:rsidRDefault="000815AC" w:rsidP="000815AC"/>
    <w:p w:rsidR="00F43422" w:rsidRDefault="00953D94" w:rsidP="000815A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9" w:line="240" w:lineRule="auto"/>
        <w:ind w:left="224"/>
      </w:pPr>
      <w:r>
        <w:rPr>
          <w:rFonts w:ascii="Corbel" w:eastAsia="Corbel" w:hAnsi="Corbel" w:cs="Corbel"/>
          <w:sz w:val="24"/>
        </w:rPr>
        <w:t>Wiedza z zakresu najnowszej historii politycznej, og</w:t>
      </w:r>
      <w:r w:rsidR="000815AC">
        <w:rPr>
          <w:rFonts w:ascii="Corbel" w:eastAsia="Corbel" w:hAnsi="Corbel" w:cs="Corbel"/>
          <w:sz w:val="24"/>
        </w:rPr>
        <w:t>ólna  wiedza na temat polityki.</w:t>
      </w:r>
    </w:p>
    <w:p w:rsidR="00F43422" w:rsidRDefault="00953D94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3.1 Cele przedmiotu </w:t>
      </w:r>
    </w:p>
    <w:p w:rsidR="00F43422" w:rsidRDefault="00953D94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0" w:type="dxa"/>
          <w:left w:w="110" w:type="dxa"/>
          <w:right w:w="241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F43422">
        <w:trPr>
          <w:trHeight w:val="38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>Przekazanie wiedzy na temat roli polityki w życiu społecznym.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62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Student powinien zdobyć wiedzę dotyczącą różnych koncepcji polityki i sposobów spostrzegania rzeczywistości politycznej.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89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Student powinien posiąść wiedzę o przedmiocie badań politologicznych; uwarunkowaniach polityki; pluralizmie poznawczym w nowoczesnej politologii; tradycji, kształtowaniu się i tożsamości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politologii jako odrębnej nauki społecznej.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06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F43422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51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Opisuje charakter polityki.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F43422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 xml:space="preserve">Rozróżnia  podstawowe  pojęcia stosowane  w przedmiotowym i podmiotowym rozumieniu polityki.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K_W05 </w:t>
            </w:r>
          </w:p>
        </w:tc>
      </w:tr>
      <w:tr w:rsidR="00F43422">
        <w:trPr>
          <w:trHeight w:val="51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Wskazuje aksjologiczne elementy w polityce.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K_W12 </w:t>
            </w:r>
          </w:p>
        </w:tc>
      </w:tr>
      <w:tr w:rsidR="00F43422">
        <w:trPr>
          <w:trHeight w:val="52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Charakteryzuje funkcje i przedmiot badań nauki o polityce.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K_W07 </w:t>
            </w:r>
          </w:p>
        </w:tc>
      </w:tr>
      <w:tr w:rsidR="00F43422">
        <w:trPr>
          <w:trHeight w:val="51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Ocenia wydarzenia  zachodzące na scenie politycznej.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K_U01 </w:t>
            </w:r>
          </w:p>
        </w:tc>
      </w:tr>
      <w:tr w:rsidR="00F43422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Ocenia rolę opinii publicznej w demokratycznym systemie politycznym.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K_U07 </w:t>
            </w:r>
          </w:p>
        </w:tc>
      </w:tr>
      <w:tr w:rsidR="00F43422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Jest otwarty na  uczestnictwo w różnych formach aktywności politycznej.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K_K07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F43422" w:rsidRDefault="00953D94">
      <w:pPr>
        <w:numPr>
          <w:ilvl w:val="0"/>
          <w:numId w:val="1"/>
        </w:numPr>
        <w:spacing w:after="38" w:line="244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F43422" w:rsidRDefault="00953D94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02"/>
            </w:pPr>
            <w:r>
              <w:rPr>
                <w:rFonts w:ascii="Corbel" w:eastAsia="Corbel" w:hAnsi="Corbel" w:cs="Corbel"/>
              </w:rPr>
              <w:t>Nauka o polityce - zagadnienia wprowadzające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02"/>
            </w:pPr>
            <w:r>
              <w:rPr>
                <w:rFonts w:ascii="Corbel" w:eastAsia="Corbel" w:hAnsi="Corbel" w:cs="Corbel"/>
              </w:rPr>
              <w:t xml:space="preserve">Kierunki i koncepcje definiowania polityki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88"/>
            </w:pPr>
            <w:r>
              <w:rPr>
                <w:rFonts w:ascii="Corbel" w:eastAsia="Corbel" w:hAnsi="Corbel" w:cs="Corbel"/>
              </w:rPr>
              <w:t>Racjonalny i konfliktowy charakter polityki  jako zjawiska społecznego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88"/>
            </w:pPr>
            <w:r>
              <w:rPr>
                <w:rFonts w:ascii="Corbel" w:eastAsia="Corbel" w:hAnsi="Corbel" w:cs="Corbel"/>
              </w:rPr>
              <w:lastRenderedPageBreak/>
              <w:t>Polityka a polityczność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88"/>
            </w:pPr>
            <w:r>
              <w:rPr>
                <w:rFonts w:ascii="Corbel" w:eastAsia="Corbel" w:hAnsi="Corbel" w:cs="Corbel"/>
              </w:rPr>
              <w:t>Podstawowe pojęcia w podmiotowym ujęciu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88"/>
            </w:pPr>
            <w:r>
              <w:rPr>
                <w:rFonts w:ascii="Corbel" w:eastAsia="Corbel" w:hAnsi="Corbel" w:cs="Corbel"/>
              </w:rPr>
              <w:t>Aksjologiczne i kulturowe elementy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02"/>
            </w:pPr>
            <w:r>
              <w:rPr>
                <w:rFonts w:ascii="Corbel" w:eastAsia="Corbel" w:hAnsi="Corbel" w:cs="Corbel"/>
              </w:rPr>
              <w:t>Podstawowe pojęcia w przedmiotowym ujęciu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>Władza polityczna w państwie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>Legitymizacyjne uwarunkowania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14"/>
            </w:pPr>
            <w:r>
              <w:rPr>
                <w:rFonts w:ascii="Corbel" w:eastAsia="Corbel" w:hAnsi="Corbel" w:cs="Corbel"/>
              </w:rPr>
              <w:t>Opinia publiczna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numPr>
          <w:ilvl w:val="0"/>
          <w:numId w:val="1"/>
        </w:numPr>
        <w:spacing w:after="38" w:line="244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F43422" w:rsidRDefault="00953D94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31"/>
            </w:pPr>
            <w:r>
              <w:rPr>
                <w:rFonts w:ascii="Corbel" w:eastAsia="Corbel" w:hAnsi="Corbel" w:cs="Corbel"/>
              </w:rPr>
              <w:t>Nauka o polityce - charakterystyka dyscypliny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Wybrane modele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Polityzacja konfliktów społecznych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Podmioty polityki i podmioty polityczne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Wybrane polityki szczegółowe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Władza polityczna - pojęcie i koncepcje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System polityczny - ustrój państwowy - reżim polityczny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Zmiana systemu politycznego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Zjawisko globalizacji i procesy integracyjne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 xml:space="preserve">Autorytaryzm a totalitaryzm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Rozwój demokracji - idee i instytucje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Formuły legitymizacji władzy państwowej w demokracji, autorytaryzmie, totalitaryzmie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F43422" w:rsidRDefault="00953D94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0" w:line="240" w:lineRule="auto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F43422" w:rsidRDefault="00953D94">
      <w:pPr>
        <w:spacing w:after="37" w:line="240" w:lineRule="auto"/>
      </w:pPr>
      <w:r>
        <w:rPr>
          <w:rFonts w:ascii="Corbel" w:eastAsia="Corbel" w:hAnsi="Corbel" w:cs="Corbel"/>
          <w:i/>
          <w:sz w:val="20"/>
        </w:rPr>
        <w:t xml:space="preserve"> </w:t>
      </w:r>
    </w:p>
    <w:p w:rsidR="00F43422" w:rsidRDefault="00953D94">
      <w:pPr>
        <w:spacing w:after="38" w:line="244" w:lineRule="auto"/>
        <w:ind w:left="-5" w:right="-15" w:hanging="10"/>
      </w:pPr>
      <w:r>
        <w:rPr>
          <w:rFonts w:ascii="Corbel" w:eastAsia="Corbel" w:hAnsi="Corbel" w:cs="Corbel"/>
          <w:sz w:val="24"/>
        </w:rPr>
        <w:t xml:space="preserve">Wykład z prezentacją multimedialną. </w:t>
      </w:r>
    </w:p>
    <w:p w:rsidR="00F43422" w:rsidRDefault="00953D94">
      <w:pPr>
        <w:spacing w:after="38" w:line="244" w:lineRule="auto"/>
        <w:ind w:left="-5" w:right="-15" w:hanging="10"/>
      </w:pPr>
      <w:r>
        <w:rPr>
          <w:rFonts w:ascii="Corbel" w:eastAsia="Corbel" w:hAnsi="Corbel" w:cs="Corbel"/>
          <w:sz w:val="24"/>
        </w:rPr>
        <w:t xml:space="preserve">Ćwiczenia – dyskusja, praca w grupach.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spacing w:after="41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1"/>
        <w:ind w:left="10"/>
      </w:pPr>
      <w:r>
        <w:t xml:space="preserve">4. METODY I KRYTERIA OCENY 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4.1 Sposoby weryfikacji efektów uczenia się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06"/>
        <w:gridCol w:w="6099"/>
        <w:gridCol w:w="2117"/>
      </w:tblGrid>
      <w:tr w:rsidR="00F43422">
        <w:trPr>
          <w:trHeight w:val="888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F43422">
        <w:trPr>
          <w:trHeight w:val="430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EK01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line="240" w:lineRule="auto"/>
            </w:pPr>
            <w:r>
              <w:rPr>
                <w:rFonts w:ascii="Corbel" w:eastAsia="Corbel" w:hAnsi="Corbel" w:cs="Corbel"/>
              </w:rPr>
              <w:t xml:space="preserve">-ocena wypowiedzi studenta podczas ćwiczeń;  </w:t>
            </w:r>
          </w:p>
          <w:p w:rsidR="00F43422" w:rsidRDefault="00953D94">
            <w:r>
              <w:rPr>
                <w:rFonts w:ascii="Corbel" w:eastAsia="Corbel" w:hAnsi="Corbel" w:cs="Corbel"/>
              </w:rPr>
              <w:t>-ocena odpowiedzi podczas egzaminu ustnego.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434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EK02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-ocena wypowiedzi studenta podczas ćwiczeń; -ocena odpowiedzi podczas egzaminu ustnego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422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EK03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line="240" w:lineRule="auto"/>
            </w:pPr>
            <w:r>
              <w:rPr>
                <w:rFonts w:ascii="Corbel" w:eastAsia="Corbel" w:hAnsi="Corbel" w:cs="Corbel"/>
              </w:rPr>
              <w:t xml:space="preserve">-ocena wypowiedzi studenta podczas ćwiczeń;  </w:t>
            </w:r>
          </w:p>
          <w:p w:rsidR="00F43422" w:rsidRDefault="00953D94">
            <w:r>
              <w:rPr>
                <w:rFonts w:ascii="Corbel" w:eastAsia="Corbel" w:hAnsi="Corbel" w:cs="Corbel"/>
              </w:rPr>
              <w:lastRenderedPageBreak/>
              <w:t>-ocena odpowiedzi podczas egzaminu ustnego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lastRenderedPageBreak/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434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EK04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-ocena wypowiedzi studenta podczas ćwiczeń; -ocena odpowiedzi podczas egzaminu ustnego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819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EK05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numPr>
                <w:ilvl w:val="0"/>
                <w:numId w:val="2"/>
              </w:numPr>
              <w:spacing w:line="240" w:lineRule="auto"/>
              <w:ind w:right="1118"/>
            </w:pPr>
            <w:r>
              <w:rPr>
                <w:rFonts w:ascii="Corbel" w:eastAsia="Corbel" w:hAnsi="Corbel" w:cs="Corbel"/>
              </w:rPr>
              <w:t xml:space="preserve">ocena wypowiedzi studenta podczas ćwiczeń  </w:t>
            </w:r>
          </w:p>
          <w:p w:rsidR="00F43422" w:rsidRDefault="00953D94">
            <w:pPr>
              <w:numPr>
                <w:ilvl w:val="0"/>
                <w:numId w:val="2"/>
              </w:numPr>
              <w:ind w:right="1118"/>
            </w:pPr>
            <w:r>
              <w:rPr>
                <w:rFonts w:ascii="Corbel" w:eastAsia="Corbel" w:hAnsi="Corbel" w:cs="Corbel"/>
              </w:rPr>
              <w:t>obserwacja pracy studenta podczas ćwiczeń; - ocena postawy studenta podczas rozmowy egzaminacyjnej.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1349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EK06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numPr>
                <w:ilvl w:val="0"/>
                <w:numId w:val="3"/>
              </w:numPr>
              <w:spacing w:after="33" w:line="245" w:lineRule="auto"/>
              <w:ind w:right="1116"/>
            </w:pPr>
            <w:r>
              <w:rPr>
                <w:rFonts w:ascii="Corbel" w:eastAsia="Corbel" w:hAnsi="Corbel" w:cs="Corbel"/>
              </w:rPr>
              <w:t xml:space="preserve">ocena wypowiedzi studenta podczas ćwiczeń (w tym wygłoszonego referatu); </w:t>
            </w:r>
          </w:p>
          <w:p w:rsidR="00F43422" w:rsidRDefault="00953D94">
            <w:pPr>
              <w:numPr>
                <w:ilvl w:val="0"/>
                <w:numId w:val="3"/>
              </w:numPr>
              <w:ind w:right="1116"/>
            </w:pPr>
            <w:r>
              <w:rPr>
                <w:rFonts w:ascii="Corbel" w:eastAsia="Corbel" w:hAnsi="Corbel" w:cs="Corbel"/>
              </w:rPr>
              <w:t>obserwacja pracy studenta podczas ćwiczeń; - ocena postawy studenta podczas rozmowy egzaminacyjnej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257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EK07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- ocena wypowiedzi i postawy studenta</w:t>
            </w:r>
            <w:r>
              <w:rPr>
                <w:sz w:val="16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podczas ćwiczeń; </w:t>
            </w:r>
          </w:p>
          <w:p w:rsidR="000815AC" w:rsidRDefault="000815AC">
            <w:r>
              <w:rPr>
                <w:rFonts w:ascii="Corbel" w:eastAsia="Corbel" w:hAnsi="Corbel" w:cs="Corbel"/>
              </w:rPr>
              <w:t>- ocena udziału studenta w dyskusji na wykładzie i ćwiczeniach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4.2 Warunki zaliczenia przedmiotu (kryteria oceniania)  </w:t>
      </w:r>
    </w:p>
    <w:p w:rsidR="00F43422" w:rsidRDefault="00953D94">
      <w:pPr>
        <w:spacing w:after="45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73" w:line="234" w:lineRule="auto"/>
        <w:ind w:left="322" w:right="-15" w:hanging="10"/>
      </w:pPr>
      <w:r>
        <w:rPr>
          <w:rFonts w:ascii="Corbel" w:eastAsia="Corbel" w:hAnsi="Corbel" w:cs="Corbel"/>
        </w:rPr>
        <w:t xml:space="preserve">Sposób zaliczenia ćwiczeń: zaliczenie z oceną.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73" w:line="234" w:lineRule="auto"/>
        <w:ind w:left="322" w:right="-15" w:hanging="10"/>
      </w:pPr>
      <w:r>
        <w:rPr>
          <w:rFonts w:ascii="Corbel" w:eastAsia="Corbel" w:hAnsi="Corbel" w:cs="Corbel"/>
        </w:rPr>
        <w:t xml:space="preserve">Forma zaliczenia ćwiczeń: zaliczenie ustne.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194" w:line="234" w:lineRule="auto"/>
        <w:ind w:left="322" w:right="-15" w:hanging="10"/>
      </w:pPr>
      <w:r>
        <w:rPr>
          <w:rFonts w:ascii="Corbel" w:eastAsia="Corbel" w:hAnsi="Corbel" w:cs="Corbel"/>
        </w:rPr>
        <w:t xml:space="preserve">Sposób zaliczenia wykładu: egzamin ustny.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73" w:line="234" w:lineRule="auto"/>
        <w:ind w:left="312" w:right="-15"/>
      </w:pPr>
      <w:r>
        <w:rPr>
          <w:rFonts w:ascii="Corbel" w:eastAsia="Corbel" w:hAnsi="Corbel" w:cs="Corbel"/>
        </w:rPr>
        <w:t>Forma zaliczenia egzaminu: ustalanie oceny końcowej w oparciu o trzy oceny cząstkowe: ocenę z zaliczenia oraz ocenę ustnej odpowiedzi na dwa pytania w trakcie egzaminu.</w:t>
      </w: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 w:rsidP="000815AC">
      <w:pPr>
        <w:pStyle w:val="Nagwek1"/>
        <w:spacing w:before="240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F43422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F43422">
        <w:trPr>
          <w:trHeight w:val="598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jc w:val="center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F43422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35 </w:t>
            </w:r>
          </w:p>
        </w:tc>
      </w:tr>
      <w:tr w:rsidR="00F43422">
        <w:trPr>
          <w:trHeight w:val="1183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85 </w:t>
            </w:r>
          </w:p>
        </w:tc>
      </w:tr>
      <w:tr w:rsidR="00F43422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175 </w:t>
            </w:r>
          </w:p>
        </w:tc>
      </w:tr>
      <w:tr w:rsidR="00F43422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jc w:val="center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7 </w:t>
            </w:r>
          </w:p>
        </w:tc>
      </w:tr>
    </w:tbl>
    <w:p w:rsidR="00F43422" w:rsidRDefault="00953D94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C7CE6" w:rsidRDefault="001C7CE6">
      <w:pPr>
        <w:spacing w:after="160" w:line="259" w:lineRule="auto"/>
        <w:rPr>
          <w:rFonts w:ascii="Corbel" w:eastAsia="Corbel" w:hAnsi="Corbel" w:cs="Corbel"/>
          <w:b/>
          <w:sz w:val="24"/>
        </w:rPr>
      </w:pPr>
      <w:r>
        <w:br w:type="page"/>
      </w:r>
    </w:p>
    <w:p w:rsidR="00F43422" w:rsidRDefault="00953D94">
      <w:pPr>
        <w:pStyle w:val="Nagwek1"/>
        <w:ind w:left="10"/>
      </w:pPr>
      <w:r>
        <w:lastRenderedPageBreak/>
        <w:t xml:space="preserve">6. PRAKTYKI ZAWODOWE W RAMACH PRZEDMIOTU </w:t>
      </w:r>
    </w:p>
    <w:p w:rsidR="00F43422" w:rsidRDefault="00953D94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F43422" w:rsidTr="000815AC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F43422" w:rsidTr="000815AC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</w:tbl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1"/>
        <w:ind w:left="10"/>
      </w:pPr>
      <w:r>
        <w:t xml:space="preserve">7. LITERATURA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253" w:type="dxa"/>
        <w:tblInd w:w="137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253"/>
      </w:tblGrid>
      <w:tr w:rsidR="00F43422" w:rsidTr="000815AC"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spacing w:after="38" w:line="240" w:lineRule="auto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F43422" w:rsidRDefault="00953D94">
            <w:pPr>
              <w:spacing w:after="37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Podstawowe kategorie badawcze w nauce o polityce</w:t>
            </w:r>
            <w:r>
              <w:rPr>
                <w:rFonts w:ascii="Corbel" w:eastAsia="Corbel" w:hAnsi="Corbel" w:cs="Corbel"/>
                <w:sz w:val="24"/>
              </w:rPr>
              <w:t xml:space="preserve">, red. P. Maj, Rzeszów 2013. </w:t>
            </w:r>
            <w:r>
              <w:rPr>
                <w:rFonts w:ascii="Corbel" w:eastAsia="Corbel" w:hAnsi="Corbel" w:cs="Corbel"/>
                <w:i/>
                <w:sz w:val="24"/>
              </w:rPr>
              <w:t>Wprowadzenie do nauki o państwie i polityce</w:t>
            </w:r>
            <w:r>
              <w:rPr>
                <w:rFonts w:ascii="Corbel" w:eastAsia="Corbel" w:hAnsi="Corbel" w:cs="Corbel"/>
                <w:sz w:val="24"/>
              </w:rPr>
              <w:t xml:space="preserve">, red. B. Szmulik, M. Żmigrodzki, Lublin 2007. </w:t>
            </w:r>
          </w:p>
          <w:p w:rsidR="00F43422" w:rsidRDefault="00953D94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Heywood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</w:t>
            </w:r>
            <w:r>
              <w:rPr>
                <w:rFonts w:ascii="Corbel" w:eastAsia="Corbel" w:hAnsi="Corbel" w:cs="Corbel"/>
                <w:i/>
                <w:sz w:val="24"/>
              </w:rPr>
              <w:t>Politologia</w:t>
            </w:r>
            <w:r>
              <w:rPr>
                <w:rFonts w:ascii="Corbel" w:eastAsia="Corbel" w:hAnsi="Corbel" w:cs="Corbel"/>
                <w:sz w:val="24"/>
              </w:rPr>
              <w:t xml:space="preserve">, Warszawa 2006.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Muszyński J., </w:t>
            </w:r>
            <w:r>
              <w:rPr>
                <w:rFonts w:ascii="Corbel" w:eastAsia="Corbel" w:hAnsi="Corbel" w:cs="Corbel"/>
                <w:i/>
                <w:sz w:val="24"/>
              </w:rPr>
              <w:t>Podstawy teorii i praktyki polityki</w:t>
            </w:r>
            <w:r>
              <w:rPr>
                <w:rFonts w:ascii="Corbel" w:eastAsia="Corbel" w:hAnsi="Corbel" w:cs="Corbel"/>
                <w:sz w:val="24"/>
              </w:rPr>
              <w:t xml:space="preserve">, Toruń 2007. 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Żyro T., </w:t>
            </w:r>
            <w:r>
              <w:rPr>
                <w:rFonts w:ascii="Corbel" w:eastAsia="Corbel" w:hAnsi="Corbel" w:cs="Corbel"/>
                <w:i/>
                <w:sz w:val="24"/>
              </w:rPr>
              <w:t>Wstęp do politologii</w:t>
            </w:r>
            <w:r>
              <w:rPr>
                <w:rFonts w:ascii="Corbel" w:eastAsia="Corbel" w:hAnsi="Corbel" w:cs="Corbel"/>
                <w:sz w:val="24"/>
              </w:rPr>
              <w:t xml:space="preserve">, Warszawa 2004. </w:t>
            </w:r>
          </w:p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Buksiński T., </w:t>
            </w:r>
            <w:r>
              <w:rPr>
                <w:rFonts w:ascii="Corbel" w:eastAsia="Corbel" w:hAnsi="Corbel" w:cs="Corbel"/>
                <w:i/>
                <w:sz w:val="24"/>
              </w:rPr>
              <w:t>Racjonalność współdziałań: Szkice z filozofii polityki</w:t>
            </w:r>
            <w:r>
              <w:rPr>
                <w:rFonts w:ascii="Corbel" w:eastAsia="Corbel" w:hAnsi="Corbel" w:cs="Corbel"/>
                <w:sz w:val="24"/>
              </w:rPr>
              <w:t>, Poznań 1996.</w:t>
            </w:r>
            <w:r>
              <w:t xml:space="preserve"> </w:t>
            </w:r>
          </w:p>
        </w:tc>
      </w:tr>
      <w:tr w:rsidR="00F43422" w:rsidTr="000815AC"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5AC" w:rsidRDefault="000815AC">
            <w:pPr>
              <w:spacing w:after="38" w:line="248" w:lineRule="auto"/>
              <w:rPr>
                <w:rFonts w:ascii="Corbel" w:eastAsia="Corbel" w:hAnsi="Corbel" w:cs="Corbel"/>
                <w:sz w:val="24"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F43422" w:rsidRDefault="00953D94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D. C.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Hallin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P. Mancini, </w:t>
            </w:r>
            <w:r>
              <w:rPr>
                <w:rFonts w:ascii="Corbel" w:eastAsia="Corbel" w:hAnsi="Corbel" w:cs="Corbel"/>
                <w:i/>
                <w:sz w:val="24"/>
              </w:rPr>
              <w:t>Systemy medialne; Trzy modele mediów i polityki w ujęciu porównawczym</w:t>
            </w:r>
            <w:r>
              <w:rPr>
                <w:rFonts w:ascii="Corbel" w:eastAsia="Corbel" w:hAnsi="Corbel" w:cs="Corbel"/>
                <w:sz w:val="24"/>
              </w:rPr>
              <w:t xml:space="preserve">, Kraków 2007. </w:t>
            </w:r>
          </w:p>
          <w:p w:rsidR="00F43422" w:rsidRDefault="00953D94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G. Majone, </w:t>
            </w:r>
            <w:r>
              <w:rPr>
                <w:rFonts w:ascii="Corbel" w:eastAsia="Corbel" w:hAnsi="Corbel" w:cs="Corbel"/>
                <w:i/>
                <w:sz w:val="24"/>
              </w:rPr>
              <w:t>Dowody, argumenty i perswazja w procesie politycznym</w:t>
            </w:r>
            <w:r>
              <w:rPr>
                <w:rFonts w:ascii="Corbel" w:eastAsia="Corbel" w:hAnsi="Corbel" w:cs="Corbel"/>
                <w:sz w:val="24"/>
              </w:rPr>
              <w:t xml:space="preserve">, Warszawa 2004.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Metafory polityki</w:t>
            </w:r>
            <w:r>
              <w:rPr>
                <w:rFonts w:ascii="Corbel" w:eastAsia="Corbel" w:hAnsi="Corbel" w:cs="Corbel"/>
                <w:sz w:val="24"/>
              </w:rPr>
              <w:t xml:space="preserve">, t. 1, red. B. Kaczmarek, Warszawa 2001.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Metafory polityki</w:t>
            </w:r>
            <w:r>
              <w:rPr>
                <w:rFonts w:ascii="Corbel" w:eastAsia="Corbel" w:hAnsi="Corbel" w:cs="Corbel"/>
                <w:sz w:val="24"/>
              </w:rPr>
              <w:t xml:space="preserve">, t. 2, red. B. Kaczmarek, Warszawa 2003 </w:t>
            </w:r>
          </w:p>
          <w:p w:rsidR="00F43422" w:rsidRDefault="00953D94">
            <w:pPr>
              <w:spacing w:after="37" w:line="248" w:lineRule="auto"/>
              <w:ind w:right="621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Mouffe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Ch., </w:t>
            </w:r>
            <w:r>
              <w:rPr>
                <w:rFonts w:ascii="Corbel" w:eastAsia="Corbel" w:hAnsi="Corbel" w:cs="Corbel"/>
                <w:i/>
                <w:sz w:val="24"/>
              </w:rPr>
              <w:t>Polityczność: Przewodnik krytyki politycznej</w:t>
            </w:r>
            <w:r>
              <w:rPr>
                <w:rFonts w:ascii="Corbel" w:eastAsia="Corbel" w:hAnsi="Corbel" w:cs="Corbel"/>
                <w:sz w:val="24"/>
              </w:rPr>
              <w:t xml:space="preserve">, Warszawa 2008. P. Maj, </w:t>
            </w:r>
            <w:r>
              <w:rPr>
                <w:rFonts w:ascii="Corbel" w:eastAsia="Corbel" w:hAnsi="Corbel" w:cs="Corbel"/>
                <w:i/>
                <w:sz w:val="24"/>
              </w:rPr>
              <w:t>Internet i demokracja</w:t>
            </w:r>
            <w:r>
              <w:rPr>
                <w:rFonts w:ascii="Corbel" w:eastAsia="Corbel" w:hAnsi="Corbel" w:cs="Corbel"/>
                <w:sz w:val="24"/>
              </w:rPr>
              <w:t xml:space="preserve">, Rzeszów 2009.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Podstawowe kategorie polityki</w:t>
            </w:r>
            <w:r>
              <w:rPr>
                <w:rFonts w:ascii="Corbel" w:eastAsia="Corbel" w:hAnsi="Corbel" w:cs="Corbel"/>
                <w:sz w:val="24"/>
              </w:rPr>
              <w:t xml:space="preserve">, red. S. Opara, D. Radziszewska-Szczepaniak, A.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>Żukowski, Olsztyn [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b.r.w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.].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R.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Bäcker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24"/>
              </w:rPr>
              <w:t>Totalitaryzm: Geneza – istota – upadek</w:t>
            </w:r>
            <w:r>
              <w:rPr>
                <w:rFonts w:ascii="Corbel" w:eastAsia="Corbel" w:hAnsi="Corbel" w:cs="Corbel"/>
                <w:sz w:val="24"/>
              </w:rPr>
              <w:t xml:space="preserve">, Toruń 1992 </w:t>
            </w:r>
          </w:p>
          <w:p w:rsidR="00F43422" w:rsidRDefault="00953D94">
            <w:pPr>
              <w:spacing w:after="40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Społeczeństwo i polityka: Podstawy nauk politycznych</w:t>
            </w:r>
            <w:r>
              <w:rPr>
                <w:rFonts w:ascii="Corbel" w:eastAsia="Corbel" w:hAnsi="Corbel" w:cs="Corbel"/>
                <w:sz w:val="24"/>
              </w:rPr>
              <w:t xml:space="preserve">, red. K. A. Wojtaszczyk, W.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Jakubowski, Warszawa 2002. </w:t>
            </w:r>
          </w:p>
          <w:p w:rsidR="00F43422" w:rsidRDefault="00953D94">
            <w:r>
              <w:rPr>
                <w:rFonts w:ascii="Corbel" w:eastAsia="Corbel" w:hAnsi="Corbel" w:cs="Corbel"/>
                <w:i/>
                <w:sz w:val="24"/>
              </w:rPr>
              <w:t>Teorie i metody w naukach politycznych</w:t>
            </w:r>
            <w:r>
              <w:rPr>
                <w:rFonts w:ascii="Corbel" w:eastAsia="Corbel" w:hAnsi="Corbel" w:cs="Corbel"/>
                <w:sz w:val="24"/>
              </w:rPr>
              <w:t xml:space="preserve">, red. D. Marsh, G. Stoker, Kraków 2006 Pietraś Z. J., </w:t>
            </w:r>
            <w:r>
              <w:rPr>
                <w:rFonts w:ascii="Corbel" w:eastAsia="Corbel" w:hAnsi="Corbel" w:cs="Corbel"/>
                <w:i/>
                <w:sz w:val="24"/>
              </w:rPr>
              <w:t>Decydowanie polityczne</w:t>
            </w:r>
            <w:r>
              <w:rPr>
                <w:rFonts w:ascii="Corbel" w:eastAsia="Corbel" w:hAnsi="Corbel" w:cs="Corbel"/>
                <w:sz w:val="24"/>
              </w:rPr>
              <w:t>, Warszawa–Kraków 1998.</w:t>
            </w:r>
            <w:r>
              <w:rPr>
                <w:b/>
              </w:rPr>
              <w:t xml:space="preserve"> </w:t>
            </w:r>
          </w:p>
        </w:tc>
      </w:tr>
    </w:tbl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4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F43422" w:rsidRDefault="00953D94">
      <w:pPr>
        <w:spacing w:line="240" w:lineRule="auto"/>
        <w:ind w:left="360"/>
      </w:pPr>
      <w:bookmarkStart w:id="0" w:name="_GoBack"/>
      <w:bookmarkEnd w:id="0"/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</w:r>
    </w:p>
    <w:sectPr w:rsidR="00F43422" w:rsidSect="00895B7C">
      <w:footnotePr>
        <w:numRestart w:val="eachPage"/>
      </w:footnotePr>
      <w:pgSz w:w="11906" w:h="16838"/>
      <w:pgMar w:top="568" w:right="1133" w:bottom="70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41F" w:rsidRDefault="00E4441F">
      <w:pPr>
        <w:spacing w:line="240" w:lineRule="auto"/>
      </w:pPr>
      <w:r>
        <w:separator/>
      </w:r>
    </w:p>
  </w:endnote>
  <w:endnote w:type="continuationSeparator" w:id="0">
    <w:p w:rsidR="00E4441F" w:rsidRDefault="00E444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41F" w:rsidRDefault="00E4441F">
      <w:pPr>
        <w:spacing w:line="271" w:lineRule="auto"/>
      </w:pPr>
      <w:r>
        <w:separator/>
      </w:r>
    </w:p>
  </w:footnote>
  <w:footnote w:type="continuationSeparator" w:id="0">
    <w:p w:rsidR="00E4441F" w:rsidRDefault="00E4441F">
      <w:pPr>
        <w:spacing w:line="271" w:lineRule="auto"/>
      </w:pPr>
      <w:r>
        <w:continuationSeparator/>
      </w:r>
    </w:p>
  </w:footnote>
  <w:footnote w:id="1">
    <w:p w:rsidR="00F43422" w:rsidRDefault="00953D94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B07AF"/>
    <w:multiLevelType w:val="hybridMultilevel"/>
    <w:tmpl w:val="CBECD1DC"/>
    <w:lvl w:ilvl="0" w:tplc="9CBE9D3E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70CF26">
      <w:start w:val="1"/>
      <w:numFmt w:val="bullet"/>
      <w:lvlText w:val="o"/>
      <w:lvlJc w:val="left"/>
      <w:pPr>
        <w:ind w:left="12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B4B670">
      <w:start w:val="1"/>
      <w:numFmt w:val="bullet"/>
      <w:lvlText w:val="▪"/>
      <w:lvlJc w:val="left"/>
      <w:pPr>
        <w:ind w:left="20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463DD6">
      <w:start w:val="1"/>
      <w:numFmt w:val="bullet"/>
      <w:lvlText w:val="•"/>
      <w:lvlJc w:val="left"/>
      <w:pPr>
        <w:ind w:left="27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F43EF0">
      <w:start w:val="1"/>
      <w:numFmt w:val="bullet"/>
      <w:lvlText w:val="o"/>
      <w:lvlJc w:val="left"/>
      <w:pPr>
        <w:ind w:left="34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522540">
      <w:start w:val="1"/>
      <w:numFmt w:val="bullet"/>
      <w:lvlText w:val="▪"/>
      <w:lvlJc w:val="left"/>
      <w:pPr>
        <w:ind w:left="41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EC4FFC">
      <w:start w:val="1"/>
      <w:numFmt w:val="bullet"/>
      <w:lvlText w:val="•"/>
      <w:lvlJc w:val="left"/>
      <w:pPr>
        <w:ind w:left="48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9A0924">
      <w:start w:val="1"/>
      <w:numFmt w:val="bullet"/>
      <w:lvlText w:val="o"/>
      <w:lvlJc w:val="left"/>
      <w:pPr>
        <w:ind w:left="56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943596">
      <w:start w:val="1"/>
      <w:numFmt w:val="bullet"/>
      <w:lvlText w:val="▪"/>
      <w:lvlJc w:val="left"/>
      <w:pPr>
        <w:ind w:left="63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F512A4"/>
    <w:multiLevelType w:val="hybridMultilevel"/>
    <w:tmpl w:val="9C4803FC"/>
    <w:lvl w:ilvl="0" w:tplc="2A369FEE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403DA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6137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CC932C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B4F112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5C8122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28B2F6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8433A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16CA4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761AB3"/>
    <w:multiLevelType w:val="hybridMultilevel"/>
    <w:tmpl w:val="1284CFC4"/>
    <w:lvl w:ilvl="0" w:tplc="3FC00FF0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E2DF34">
      <w:start w:val="1"/>
      <w:numFmt w:val="bullet"/>
      <w:lvlText w:val="o"/>
      <w:lvlJc w:val="left"/>
      <w:pPr>
        <w:ind w:left="12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344F0E">
      <w:start w:val="1"/>
      <w:numFmt w:val="bullet"/>
      <w:lvlText w:val="▪"/>
      <w:lvlJc w:val="left"/>
      <w:pPr>
        <w:ind w:left="20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682F6A">
      <w:start w:val="1"/>
      <w:numFmt w:val="bullet"/>
      <w:lvlText w:val="•"/>
      <w:lvlJc w:val="left"/>
      <w:pPr>
        <w:ind w:left="27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7E6FB8">
      <w:start w:val="1"/>
      <w:numFmt w:val="bullet"/>
      <w:lvlText w:val="o"/>
      <w:lvlJc w:val="left"/>
      <w:pPr>
        <w:ind w:left="34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F64A6E">
      <w:start w:val="1"/>
      <w:numFmt w:val="bullet"/>
      <w:lvlText w:val="▪"/>
      <w:lvlJc w:val="left"/>
      <w:pPr>
        <w:ind w:left="41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3E8C32">
      <w:start w:val="1"/>
      <w:numFmt w:val="bullet"/>
      <w:lvlText w:val="•"/>
      <w:lvlJc w:val="left"/>
      <w:pPr>
        <w:ind w:left="48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0E9CB6">
      <w:start w:val="1"/>
      <w:numFmt w:val="bullet"/>
      <w:lvlText w:val="o"/>
      <w:lvlJc w:val="left"/>
      <w:pPr>
        <w:ind w:left="56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646230">
      <w:start w:val="1"/>
      <w:numFmt w:val="bullet"/>
      <w:lvlText w:val="▪"/>
      <w:lvlJc w:val="left"/>
      <w:pPr>
        <w:ind w:left="63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2"/>
    <w:rsid w:val="000572C4"/>
    <w:rsid w:val="000815AC"/>
    <w:rsid w:val="001C7CE6"/>
    <w:rsid w:val="00215333"/>
    <w:rsid w:val="004B478B"/>
    <w:rsid w:val="00522450"/>
    <w:rsid w:val="00895B7C"/>
    <w:rsid w:val="00953D94"/>
    <w:rsid w:val="0098052E"/>
    <w:rsid w:val="00BA6669"/>
    <w:rsid w:val="00C1229B"/>
    <w:rsid w:val="00C34C78"/>
    <w:rsid w:val="00D834FD"/>
    <w:rsid w:val="00E4441F"/>
    <w:rsid w:val="00F4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E5D8A4-6716-4E76-8A1D-098BA849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1140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9</cp:revision>
  <dcterms:created xsi:type="dcterms:W3CDTF">2020-10-28T18:25:00Z</dcterms:created>
  <dcterms:modified xsi:type="dcterms:W3CDTF">2021-02-19T08:39:00Z</dcterms:modified>
</cp:coreProperties>
</file>